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A6" w:rsidRPr="00795686" w:rsidRDefault="00AA4AA6" w:rsidP="00AA4AA6">
      <w:pPr>
        <w:ind w:firstLine="851"/>
        <w:jc w:val="center"/>
        <w:rPr>
          <w:b/>
          <w:color w:val="231F20"/>
          <w:szCs w:val="28"/>
        </w:rPr>
      </w:pPr>
      <w:r w:rsidRPr="00795686">
        <w:rPr>
          <w:b/>
          <w:color w:val="231F20"/>
          <w:szCs w:val="28"/>
        </w:rPr>
        <w:t>Выборка респондентов для монит</w:t>
      </w:r>
      <w:r>
        <w:rPr>
          <w:b/>
          <w:color w:val="231F20"/>
          <w:szCs w:val="28"/>
        </w:rPr>
        <w:t>о</w:t>
      </w:r>
      <w:r w:rsidRPr="00795686">
        <w:rPr>
          <w:b/>
          <w:color w:val="231F20"/>
          <w:szCs w:val="28"/>
        </w:rPr>
        <w:t>ринга</w:t>
      </w:r>
    </w:p>
    <w:p w:rsidR="00AA4AA6" w:rsidRDefault="00AA4AA6" w:rsidP="00AA4AA6">
      <w:pPr>
        <w:ind w:firstLine="851"/>
        <w:jc w:val="both"/>
        <w:rPr>
          <w:color w:val="231F20"/>
          <w:szCs w:val="28"/>
        </w:rPr>
      </w:pPr>
    </w:p>
    <w:p w:rsidR="00AA4AA6" w:rsidRDefault="00AA4AA6" w:rsidP="00AA4AA6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>Численность населения МО «</w:t>
      </w:r>
      <w:proofErr w:type="spellStart"/>
      <w:r>
        <w:rPr>
          <w:color w:val="231F20"/>
          <w:szCs w:val="28"/>
        </w:rPr>
        <w:t>Кошехабльский</w:t>
      </w:r>
      <w:proofErr w:type="spellEnd"/>
      <w:r>
        <w:rPr>
          <w:color w:val="231F20"/>
          <w:szCs w:val="28"/>
        </w:rPr>
        <w:t xml:space="preserve"> район» по состоянию на 1 января 2017 года составляет 29886 человек. </w:t>
      </w:r>
    </w:p>
    <w:p w:rsidR="00AA4AA6" w:rsidRDefault="00AA4AA6" w:rsidP="00AA4AA6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 xml:space="preserve">Численность юридических лиц </w:t>
      </w:r>
      <w:proofErr w:type="gramStart"/>
      <w:r>
        <w:rPr>
          <w:color w:val="231F20"/>
          <w:szCs w:val="28"/>
        </w:rPr>
        <w:t xml:space="preserve">( </w:t>
      </w:r>
      <w:proofErr w:type="gramEnd"/>
      <w:r>
        <w:rPr>
          <w:color w:val="231F20"/>
          <w:szCs w:val="28"/>
        </w:rPr>
        <w:t>организаций, предприятий коммерческого и некоммерческого направления) составляет 221 единиц, в том числе:</w:t>
      </w:r>
    </w:p>
    <w:p w:rsidR="00AA4AA6" w:rsidRDefault="00AA4AA6" w:rsidP="00AA4AA6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>- коммерческие – 122</w:t>
      </w:r>
    </w:p>
    <w:p w:rsidR="00AA4AA6" w:rsidRDefault="00AA4AA6" w:rsidP="00AA4AA6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>- некоммерческие – 99.</w:t>
      </w:r>
    </w:p>
    <w:p w:rsidR="00AA4AA6" w:rsidRDefault="00AA4AA6" w:rsidP="00AA4AA6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>Количество индивидуальных предпринимателей, включая ИП Глав КФХ, в районе насчитывается 955.</w:t>
      </w:r>
    </w:p>
    <w:p w:rsidR="00AA4AA6" w:rsidRPr="00CE6F80" w:rsidRDefault="00AA4AA6" w:rsidP="00AA4AA6">
      <w:pPr>
        <w:spacing w:after="200"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E6F80">
        <w:rPr>
          <w:rFonts w:eastAsiaTheme="minorHAnsi"/>
          <w:szCs w:val="28"/>
          <w:lang w:eastAsia="en-US"/>
        </w:rPr>
        <w:t>Динамика количества юридических лиц и индивидуальных предпринимателей 2017 год</w:t>
      </w:r>
    </w:p>
    <w:p w:rsidR="00AA4AA6" w:rsidRPr="00CE6F80" w:rsidRDefault="00AA4AA6" w:rsidP="00AA4AA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6F8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7752476" wp14:editId="1404B895">
            <wp:extent cx="2769628" cy="2685059"/>
            <wp:effectExtent l="0" t="0" r="12065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4AA6" w:rsidRPr="00CE6F80" w:rsidRDefault="00AA4AA6" w:rsidP="00AA4AA6">
      <w:pPr>
        <w:spacing w:after="200"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E6F80">
        <w:rPr>
          <w:rFonts w:eastAsiaTheme="minorHAnsi"/>
          <w:szCs w:val="28"/>
          <w:lang w:eastAsia="en-US"/>
        </w:rPr>
        <w:t>Динамика количества юридических лиц и индивидуальных предпринимателей 2016 год</w:t>
      </w:r>
    </w:p>
    <w:p w:rsidR="00AA4AA6" w:rsidRPr="00CE6F80" w:rsidRDefault="00AA4AA6" w:rsidP="00AA4AA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6F8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429ED52" wp14:editId="27821751">
            <wp:extent cx="2970479" cy="2352070"/>
            <wp:effectExtent l="0" t="0" r="2095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4AA6" w:rsidRDefault="00AA4AA6" w:rsidP="00AA4AA6">
      <w:pPr>
        <w:ind w:firstLine="851"/>
        <w:jc w:val="both"/>
        <w:rPr>
          <w:color w:val="231F20"/>
          <w:szCs w:val="28"/>
        </w:rPr>
      </w:pPr>
      <w:proofErr w:type="gramStart"/>
      <w:r>
        <w:rPr>
          <w:color w:val="231F20"/>
          <w:szCs w:val="28"/>
        </w:rPr>
        <w:t xml:space="preserve">Доля респондентов, опрошенных для проведения мониторинга состояния и развития конкурентной среды от общей численности населения  </w:t>
      </w:r>
      <w:proofErr w:type="spellStart"/>
      <w:r>
        <w:rPr>
          <w:color w:val="231F20"/>
          <w:szCs w:val="28"/>
        </w:rPr>
        <w:lastRenderedPageBreak/>
        <w:t>Кошехабльского</w:t>
      </w:r>
      <w:proofErr w:type="spellEnd"/>
      <w:r>
        <w:rPr>
          <w:color w:val="231F20"/>
          <w:szCs w:val="28"/>
        </w:rPr>
        <w:t xml:space="preserve"> района составляет 0,98%, в том числе доля потребителей товаров, услуг, работ, услуг опрошенных в ходе мониторинга от общей численности населения составляет 0,55%, доля субъектов предпринимательства, опрошенных в ходе мониторинга об общей численности населения составляет 0,43%.</w:t>
      </w:r>
      <w:proofErr w:type="gramEnd"/>
    </w:p>
    <w:p w:rsidR="00AA4AA6" w:rsidRDefault="00AA4AA6" w:rsidP="00AA4AA6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 xml:space="preserve">Доля  </w:t>
      </w:r>
      <w:proofErr w:type="gramStart"/>
      <w:r>
        <w:rPr>
          <w:color w:val="231F20"/>
          <w:szCs w:val="28"/>
        </w:rPr>
        <w:t xml:space="preserve">субъектов предпринимательства, участвовавших в мониторинге состояния и развития конкурентной среды от общего числа хозяйствующих субъектов </w:t>
      </w:r>
      <w:proofErr w:type="spellStart"/>
      <w:r>
        <w:rPr>
          <w:color w:val="231F20"/>
          <w:szCs w:val="28"/>
        </w:rPr>
        <w:t>Кошехабльского</w:t>
      </w:r>
      <w:proofErr w:type="spellEnd"/>
      <w:r>
        <w:rPr>
          <w:color w:val="231F20"/>
          <w:szCs w:val="28"/>
        </w:rPr>
        <w:t xml:space="preserve"> района составляет</w:t>
      </w:r>
      <w:proofErr w:type="gramEnd"/>
      <w:r>
        <w:rPr>
          <w:color w:val="231F20"/>
          <w:szCs w:val="28"/>
        </w:rPr>
        <w:t xml:space="preserve"> 11,0%.</w:t>
      </w:r>
    </w:p>
    <w:p w:rsidR="00AA4AA6" w:rsidRDefault="00AA4AA6" w:rsidP="00AA4AA6">
      <w:pPr>
        <w:ind w:firstLine="851"/>
        <w:jc w:val="both"/>
      </w:pPr>
      <w:r>
        <w:t>При осуществлении выборки субъектов предпринимательства  применялось распределение предприятий по видам экономической деятельности на основе распределения всех хозяйствующих субъектов</w:t>
      </w:r>
      <w:proofErr w:type="gramStart"/>
      <w:r>
        <w:t xml:space="preserve"> ,</w:t>
      </w:r>
      <w:proofErr w:type="gramEnd"/>
      <w:r>
        <w:t xml:space="preserve"> а также по категориям бизнеса по размеру в соответствии с величиной годового оборота компаний. Это обеспечило максимальную возможную репрезентативность используемой выборки. Во-вторых, он позволит сфокусироваться на отдельных видах экономической деятельности, охватываемых рынками товаров и услуг, на которых существуют проблемы ограничения конкуренции, что поможет уточнить направленность мероприятий по содействию развитию конкуренции в районе и в Республике Адыгея в целом.</w:t>
      </w:r>
    </w:p>
    <w:p w:rsidR="00AA4AA6" w:rsidRDefault="00AA4AA6" w:rsidP="00AA4AA6">
      <w:pPr>
        <w:ind w:firstLine="851"/>
        <w:jc w:val="both"/>
      </w:pPr>
    </w:p>
    <w:p w:rsidR="00AA4AA6" w:rsidRDefault="00AA4AA6" w:rsidP="00AA4AA6">
      <w:pPr>
        <w:ind w:firstLine="851"/>
        <w:jc w:val="center"/>
        <w:rPr>
          <w:b/>
          <w:color w:val="231F20"/>
          <w:szCs w:val="28"/>
        </w:rPr>
      </w:pPr>
      <w:r w:rsidRPr="00172247">
        <w:rPr>
          <w:b/>
          <w:color w:val="231F20"/>
          <w:szCs w:val="28"/>
        </w:rPr>
        <w:t>Формирование</w:t>
      </w:r>
    </w:p>
    <w:p w:rsidR="00AA4AA6" w:rsidRDefault="00AA4AA6" w:rsidP="00AA4AA6">
      <w:pPr>
        <w:ind w:firstLine="851"/>
        <w:jc w:val="center"/>
        <w:rPr>
          <w:b/>
          <w:color w:val="231F20"/>
          <w:szCs w:val="28"/>
        </w:rPr>
      </w:pPr>
      <w:r w:rsidRPr="00172247">
        <w:rPr>
          <w:b/>
          <w:color w:val="231F20"/>
          <w:szCs w:val="28"/>
        </w:rPr>
        <w:t>выборки для опроса субъектов предпринимательства</w:t>
      </w:r>
    </w:p>
    <w:p w:rsidR="00AA4AA6" w:rsidRDefault="00AA4AA6" w:rsidP="00AA4AA6">
      <w:pPr>
        <w:ind w:firstLine="851"/>
        <w:jc w:val="center"/>
        <w:rPr>
          <w:b/>
          <w:color w:val="231F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8"/>
        <w:gridCol w:w="1898"/>
        <w:gridCol w:w="1899"/>
        <w:gridCol w:w="1899"/>
        <w:gridCol w:w="1347"/>
      </w:tblGrid>
      <w:tr w:rsidR="00AA4AA6" w:rsidRPr="00C51C15" w:rsidTr="000E1CE9"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 xml:space="preserve">Вид </w:t>
            </w:r>
            <w:proofErr w:type="gramStart"/>
            <w:r w:rsidRPr="004367B4">
              <w:rPr>
                <w:b/>
                <w:color w:val="231F20"/>
                <w:szCs w:val="28"/>
              </w:rPr>
              <w:t>экономической</w:t>
            </w:r>
            <w:proofErr w:type="gramEnd"/>
          </w:p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деятельности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Микро</w:t>
            </w:r>
          </w:p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предприятия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 xml:space="preserve">Малые </w:t>
            </w:r>
          </w:p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предприятия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Средние</w:t>
            </w:r>
          </w:p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предприятия</w:t>
            </w:r>
          </w:p>
        </w:tc>
        <w:tc>
          <w:tcPr>
            <w:tcW w:w="1915" w:type="dxa"/>
          </w:tcPr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ИП</w:t>
            </w:r>
          </w:p>
        </w:tc>
      </w:tr>
      <w:tr w:rsidR="00AA4AA6" w:rsidRPr="004367B4" w:rsidTr="000E1CE9"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Сельское хозяйство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1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0</w:t>
            </w:r>
          </w:p>
        </w:tc>
        <w:tc>
          <w:tcPr>
            <w:tcW w:w="1915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24</w:t>
            </w:r>
          </w:p>
        </w:tc>
      </w:tr>
      <w:tr w:rsidR="00AA4AA6" w:rsidRPr="004367B4" w:rsidTr="000E1CE9"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Промышленное производство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3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3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</w:t>
            </w:r>
          </w:p>
        </w:tc>
        <w:tc>
          <w:tcPr>
            <w:tcW w:w="1915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0</w:t>
            </w:r>
          </w:p>
        </w:tc>
      </w:tr>
      <w:tr w:rsidR="00AA4AA6" w:rsidRPr="004367B4" w:rsidTr="000E1CE9"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Оптовая/розничная</w:t>
            </w:r>
          </w:p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Торговля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15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0</w:t>
            </w:r>
          </w:p>
        </w:tc>
        <w:tc>
          <w:tcPr>
            <w:tcW w:w="1915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57</w:t>
            </w:r>
          </w:p>
        </w:tc>
      </w:tr>
      <w:tr w:rsidR="00AA4AA6" w:rsidRPr="004367B4" w:rsidTr="000E1CE9"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Строительство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3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0</w:t>
            </w:r>
          </w:p>
        </w:tc>
        <w:tc>
          <w:tcPr>
            <w:tcW w:w="1915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6</w:t>
            </w:r>
          </w:p>
        </w:tc>
      </w:tr>
      <w:tr w:rsidR="00AA4AA6" w:rsidRPr="004367B4" w:rsidTr="000E1CE9"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прочие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1</w:t>
            </w:r>
          </w:p>
        </w:tc>
        <w:tc>
          <w:tcPr>
            <w:tcW w:w="1915" w:type="dxa"/>
          </w:tcPr>
          <w:p w:rsidR="00AA4AA6" w:rsidRPr="004367B4" w:rsidRDefault="00AA4AA6" w:rsidP="000E1CE9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5</w:t>
            </w:r>
          </w:p>
        </w:tc>
      </w:tr>
      <w:tr w:rsidR="00AA4AA6" w:rsidRPr="004367B4" w:rsidTr="000E1CE9"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всего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25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10</w:t>
            </w:r>
          </w:p>
        </w:tc>
        <w:tc>
          <w:tcPr>
            <w:tcW w:w="1914" w:type="dxa"/>
          </w:tcPr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3</w:t>
            </w:r>
          </w:p>
        </w:tc>
        <w:tc>
          <w:tcPr>
            <w:tcW w:w="1915" w:type="dxa"/>
          </w:tcPr>
          <w:p w:rsidR="00AA4AA6" w:rsidRPr="004367B4" w:rsidRDefault="00AA4AA6" w:rsidP="000E1CE9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92</w:t>
            </w:r>
          </w:p>
        </w:tc>
      </w:tr>
    </w:tbl>
    <w:p w:rsidR="00AA4AA6" w:rsidRDefault="00AA4AA6" w:rsidP="00AA4AA6">
      <w:pPr>
        <w:ind w:firstLine="851"/>
        <w:jc w:val="both"/>
        <w:rPr>
          <w:color w:val="231F20"/>
          <w:szCs w:val="28"/>
        </w:rPr>
      </w:pPr>
      <w:bookmarkStart w:id="0" w:name="_GoBack"/>
      <w:bookmarkEnd w:id="0"/>
    </w:p>
    <w:sectPr w:rsidR="00AA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A6"/>
    <w:rsid w:val="003328B9"/>
    <w:rsid w:val="00494FA6"/>
    <w:rsid w:val="00AA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количества юридических лиц и индивидуальных предпринимателей 2017 год</c:v>
                </c:pt>
              </c:strCache>
            </c:strRef>
          </c:tx>
          <c:dLbls>
            <c:dLbl>
              <c:idx val="0"/>
              <c:layout>
                <c:manualLayout>
                  <c:x val="-0.18356580739362824"/>
                  <c:y val="0.22467104074808039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Юридические лица; 221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024751338446896"/>
                  <c:y val="-0.29075487726712895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Индивидуальные предприниматели в т.ч. Главы КФХ; 955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 в т.ч. Главы КФХ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221</c:v>
                </c:pt>
                <c:pt idx="1">
                  <c:v>955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количества юридических лиц и индивидуальных предпринимателей 2017 год</c:v>
                </c:pt>
              </c:strCache>
            </c:strRef>
          </c:tx>
          <c:dLbls>
            <c:dLbl>
              <c:idx val="0"/>
              <c:layout>
                <c:manualLayout>
                  <c:x val="-0.17626683771648494"/>
                  <c:y val="0.20035416064352646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Юридические лица; 220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827651222474643"/>
                  <c:y val="-0.31266389721583965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Индивидуальные предприниматели в т.ч. Главы КФХ; 918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 в т.ч. Главы КФХ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918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2018-03-23T12:28:00Z</dcterms:created>
  <dcterms:modified xsi:type="dcterms:W3CDTF">2018-03-23T12:31:00Z</dcterms:modified>
</cp:coreProperties>
</file>