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 w:type="dxa"/>
        <w:tblCellMar>
          <w:left w:w="0" w:type="dxa"/>
          <w:right w:w="0" w:type="dxa"/>
        </w:tblCellMar>
        <w:tblLook w:val="00A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5"/>
              <w:gridCol w:w="4091"/>
              <w:gridCol w:w="1163"/>
              <w:gridCol w:w="992"/>
              <w:gridCol w:w="1909"/>
            </w:tblGrid>
            <w:tr w:rsidR="00D97733" w:rsidRPr="00D97733" w:rsidTr="006021BD">
              <w:trPr>
                <w:trHeight w:val="195"/>
                <w:jc w:val="center"/>
              </w:trPr>
              <w:tc>
                <w:tcPr>
                  <w:tcW w:w="1055"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Times New Roman" w:hAnsi="Times New Roman" w:cs="Times New Roman"/>
                      <w:sz w:val="24"/>
                      <w:szCs w:val="24"/>
                    </w:rPr>
                  </w:pPr>
                  <w:r w:rsidRPr="00D97733">
                    <w:rPr>
                      <w:rFonts w:ascii="Arial" w:hAnsi="Arial" w:cs="Arial"/>
                      <w:sz w:val="18"/>
                      <w:szCs w:val="18"/>
                    </w:rPr>
                    <w:t>№</w:t>
                  </w:r>
                  <w:r w:rsidRPr="00D97733">
                    <w:rPr>
                      <w:rFonts w:ascii="Arial" w:hAnsi="Arial" w:cs="Arial"/>
                      <w:sz w:val="18"/>
                      <w:szCs w:val="18"/>
                      <w:lang w:val="en-US"/>
                    </w:rPr>
                    <w:t xml:space="preserve"> </w:t>
                  </w:r>
                  <w:r w:rsidRPr="00D97733">
                    <w:rPr>
                      <w:rFonts w:ascii="Arial" w:hAnsi="Arial" w:cs="Arial"/>
                      <w:sz w:val="18"/>
                      <w:szCs w:val="18"/>
                    </w:rPr>
                    <w:t>п\п</w:t>
                  </w:r>
                </w:p>
              </w:tc>
              <w:tc>
                <w:tcPr>
                  <w:tcW w:w="409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5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6021BD">
              <w:trPr>
                <w:trHeight w:val="414"/>
                <w:jc w:val="center"/>
              </w:trPr>
              <w:tc>
                <w:tcPr>
                  <w:tcW w:w="105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Arial" w:hAnsi="Arial" w:cs="Arial"/>
                      <w:sz w:val="18"/>
                      <w:szCs w:val="18"/>
                    </w:rPr>
                  </w:pPr>
                </w:p>
              </w:tc>
              <w:tc>
                <w:tcPr>
                  <w:tcW w:w="409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09"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1</w:t>
                  </w:r>
                </w:p>
              </w:tc>
              <w:tc>
                <w:tcPr>
                  <w:tcW w:w="4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509F6"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264163"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6021BD">
              <w:trPr>
                <w:trHeight w:val="240"/>
                <w:jc w:val="center"/>
              </w:trPr>
              <w:tc>
                <w:tcPr>
                  <w:tcW w:w="105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735347"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6021BD">
              <w:trPr>
                <w:trHeight w:val="322"/>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6021BD">
              <w:trPr>
                <w:trHeight w:val="425"/>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6021BD">
              <w:trPr>
                <w:trHeight w:val="480"/>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6021BD">
              <w:trPr>
                <w:trHeight w:val="414"/>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Эльмира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Амербиевна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6021BD"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Пшунетлева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19.05.2015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Тлемиганова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С</w:t>
                  </w:r>
                  <w:r w:rsidR="006E6231" w:rsidRPr="00A507B0">
                    <w:rPr>
                      <w:rFonts w:ascii="Times New Roman" w:hAnsi="Times New Roman" w:cs="Times New Roman"/>
                      <w:sz w:val="24"/>
                      <w:szCs w:val="24"/>
                    </w:rPr>
                    <w:t>юзанна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16.06.2015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7A7823"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C344F"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Терчукова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Н</w:t>
                  </w:r>
                  <w:r w:rsidR="006E6231" w:rsidRPr="00A507B0">
                    <w:rPr>
                      <w:rFonts w:ascii="Times New Roman" w:hAnsi="Times New Roman" w:cs="Times New Roman"/>
                      <w:sz w:val="24"/>
                      <w:szCs w:val="24"/>
                    </w:rPr>
                    <w:t>урет</w:t>
                  </w:r>
                  <w:proofErr w:type="spellEnd"/>
                  <w:r w:rsidR="006E6231" w:rsidRPr="00A507B0">
                    <w:rPr>
                      <w:rFonts w:ascii="Times New Roman" w:hAnsi="Times New Roman" w:cs="Times New Roman"/>
                      <w:sz w:val="24"/>
                      <w:szCs w:val="24"/>
                    </w:rPr>
                    <w:t xml:space="preserve"> Эдуардовна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6C344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A1841"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067FF6">
                    <w:rPr>
                      <w:rFonts w:ascii="Times New Roman" w:hAnsi="Times New Roman" w:cs="Times New Roman"/>
                      <w:sz w:val="24"/>
                      <w:szCs w:val="24"/>
                    </w:rPr>
                    <w:t xml:space="preserve">арианна </w:t>
                  </w:r>
                  <w:proofErr w:type="spellStart"/>
                  <w:r w:rsidR="00067FF6">
                    <w:rPr>
                      <w:rFonts w:ascii="Times New Roman" w:hAnsi="Times New Roman" w:cs="Times New Roman"/>
                      <w:sz w:val="24"/>
                      <w:szCs w:val="24"/>
                    </w:rPr>
                    <w:t>Н</w:t>
                  </w:r>
                  <w:r w:rsidR="006E6231" w:rsidRPr="00A507B0">
                    <w:rPr>
                      <w:rFonts w:ascii="Times New Roman" w:hAnsi="Times New Roman" w:cs="Times New Roman"/>
                      <w:sz w:val="24"/>
                      <w:szCs w:val="24"/>
                    </w:rPr>
                    <w:t>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Хагурова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B3CD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Кемечева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М</w:t>
                  </w:r>
                  <w:r w:rsidR="006E6231" w:rsidRPr="00A507B0">
                    <w:rPr>
                      <w:rFonts w:ascii="Times New Roman" w:hAnsi="Times New Roman" w:cs="Times New Roman"/>
                      <w:sz w:val="24"/>
                      <w:szCs w:val="24"/>
                    </w:rPr>
                    <w:t>ариет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11.12.2015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72EAB"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Куева</w:t>
                  </w:r>
                  <w:proofErr w:type="spellEnd"/>
                  <w:r w:rsidRPr="00A507B0">
                    <w:rPr>
                      <w:rFonts w:ascii="Times New Roman" w:hAnsi="Times New Roman" w:cs="Times New Roman"/>
                      <w:sz w:val="24"/>
                      <w:szCs w:val="24"/>
                    </w:rPr>
                    <w:t xml:space="preserve"> Ю</w:t>
                  </w:r>
                  <w:r w:rsidR="006E6231" w:rsidRPr="00A507B0">
                    <w:rPr>
                      <w:rFonts w:ascii="Times New Roman" w:hAnsi="Times New Roman" w:cs="Times New Roman"/>
                      <w:sz w:val="24"/>
                      <w:szCs w:val="24"/>
                    </w:rPr>
                    <w:t>лия Георгиевна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E729E"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Мамрукова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урьет</w:t>
                  </w:r>
                  <w:proofErr w:type="spellEnd"/>
                  <w:r w:rsidR="006E6231" w:rsidRPr="00A507B0">
                    <w:rPr>
                      <w:rFonts w:ascii="Times New Roman" w:hAnsi="Times New Roman" w:cs="Times New Roman"/>
                      <w:sz w:val="24"/>
                      <w:szCs w:val="24"/>
                    </w:rPr>
                    <w:t xml:space="preserve">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24.02.2016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D37B4"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bookmarkStart w:id="0" w:name="_GoBack"/>
                  <w:bookmarkEnd w:id="0"/>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ED4B9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Дауров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скер </w:t>
                  </w:r>
                  <w:proofErr w:type="spellStart"/>
                  <w:r w:rsidR="006E6231" w:rsidRPr="00A507B0">
                    <w:rPr>
                      <w:rFonts w:ascii="Times New Roman" w:hAnsi="Times New Roman" w:cs="Times New Roman"/>
                      <w:sz w:val="24"/>
                      <w:szCs w:val="24"/>
                    </w:rPr>
                    <w:t>Алиевич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Ибрагимова </w:t>
                  </w:r>
                  <w:proofErr w:type="spellStart"/>
                  <w:r w:rsidRPr="00A507B0">
                    <w:rPr>
                      <w:rFonts w:ascii="Times New Roman" w:hAnsi="Times New Roman" w:cs="Times New Roman"/>
                      <w:sz w:val="24"/>
                      <w:szCs w:val="24"/>
                    </w:rPr>
                    <w:t>Н</w:t>
                  </w:r>
                  <w:r w:rsidR="00FE2835" w:rsidRPr="00A507B0">
                    <w:rPr>
                      <w:rFonts w:ascii="Times New Roman" w:hAnsi="Times New Roman" w:cs="Times New Roman"/>
                      <w:sz w:val="24"/>
                      <w:szCs w:val="24"/>
                    </w:rPr>
                    <w:t>афисет</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Ожева</w:t>
                  </w:r>
                  <w:proofErr w:type="spellEnd"/>
                  <w:r w:rsidRPr="00A507B0">
                    <w:rPr>
                      <w:rFonts w:ascii="Times New Roman" w:hAnsi="Times New Roman" w:cs="Times New Roman"/>
                      <w:sz w:val="24"/>
                      <w:szCs w:val="24"/>
                    </w:rPr>
                    <w:t xml:space="preserve"> С</w:t>
                  </w:r>
                  <w:r w:rsidR="00FE2835" w:rsidRPr="00A507B0">
                    <w:rPr>
                      <w:rFonts w:ascii="Times New Roman" w:hAnsi="Times New Roman" w:cs="Times New Roman"/>
                      <w:sz w:val="24"/>
                      <w:szCs w:val="24"/>
                    </w:rPr>
                    <w:t xml:space="preserve">аида </w:t>
                  </w:r>
                  <w:proofErr w:type="spellStart"/>
                  <w:r w:rsidR="00FE2835"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2F5323" w:rsidP="002F5323">
                  <w:pPr>
                    <w:jc w:val="center"/>
                    <w:rPr>
                      <w:rFonts w:ascii="Times New Roman" w:hAnsi="Times New Roman" w:cs="Times New Roman"/>
                      <w:sz w:val="24"/>
                      <w:szCs w:val="24"/>
                    </w:rPr>
                  </w:pPr>
                  <w:r>
                    <w:rPr>
                      <w:rFonts w:ascii="Times New Roman" w:hAnsi="Times New Roman" w:cs="Times New Roman"/>
                      <w:sz w:val="24"/>
                      <w:szCs w:val="24"/>
                    </w:rPr>
                    <w:t>17</w:t>
                  </w:r>
                  <w:r w:rsidR="008A4D34" w:rsidRPr="00A507B0">
                    <w:rPr>
                      <w:rFonts w:ascii="Times New Roman" w:hAnsi="Times New Roman" w:cs="Times New Roman"/>
                      <w:sz w:val="24"/>
                      <w:szCs w:val="24"/>
                    </w:rPr>
                    <w:t>.0</w:t>
                  </w:r>
                  <w:r>
                    <w:rPr>
                      <w:rFonts w:ascii="Times New Roman" w:hAnsi="Times New Roman" w:cs="Times New Roman"/>
                      <w:sz w:val="24"/>
                      <w:szCs w:val="24"/>
                    </w:rPr>
                    <w:t>9</w:t>
                  </w:r>
                  <w:r w:rsidR="008A4D34"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D67DBA"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9A1DB9" w:rsidP="009A1DB9">
                  <w:pPr>
                    <w:jc w:val="center"/>
                    <w:rPr>
                      <w:rFonts w:ascii="Times New Roman" w:hAnsi="Times New Roman" w:cs="Times New Roman"/>
                      <w:sz w:val="24"/>
                      <w:szCs w:val="24"/>
                    </w:rPr>
                  </w:pPr>
                  <w:r>
                    <w:rPr>
                      <w:rFonts w:ascii="Times New Roman" w:hAnsi="Times New Roman" w:cs="Times New Roman"/>
                      <w:sz w:val="24"/>
                      <w:szCs w:val="24"/>
                    </w:rPr>
                    <w:t>15</w:t>
                  </w:r>
                  <w:r w:rsidR="0059369F" w:rsidRPr="00A507B0">
                    <w:rPr>
                      <w:rFonts w:ascii="Times New Roman" w:hAnsi="Times New Roman" w:cs="Times New Roman"/>
                      <w:sz w:val="24"/>
                      <w:szCs w:val="24"/>
                    </w:rPr>
                    <w:t>.</w:t>
                  </w:r>
                  <w:r>
                    <w:rPr>
                      <w:rFonts w:ascii="Times New Roman" w:hAnsi="Times New Roman" w:cs="Times New Roman"/>
                      <w:sz w:val="24"/>
                      <w:szCs w:val="24"/>
                    </w:rPr>
                    <w:t>10</w:t>
                  </w:r>
                  <w:r w:rsidR="0059369F"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4346EC"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7D7BBD" w:rsidP="00F53B29">
                  <w:pPr>
                    <w:jc w:val="center"/>
                    <w:rPr>
                      <w:rFonts w:ascii="Times New Roman" w:hAnsi="Times New Roman" w:cs="Times New Roman"/>
                      <w:sz w:val="24"/>
                      <w:szCs w:val="24"/>
                    </w:rPr>
                  </w:pPr>
                  <w:r>
                    <w:rPr>
                      <w:rFonts w:ascii="Times New Roman" w:hAnsi="Times New Roman" w:cs="Times New Roman"/>
                      <w:sz w:val="24"/>
                      <w:szCs w:val="24"/>
                    </w:rPr>
                    <w:t>19</w:t>
                  </w:r>
                  <w:r w:rsidR="0088778D" w:rsidRPr="00A507B0">
                    <w:rPr>
                      <w:rFonts w:ascii="Times New Roman" w:hAnsi="Times New Roman" w:cs="Times New Roman"/>
                      <w:sz w:val="24"/>
                      <w:szCs w:val="24"/>
                    </w:rPr>
                    <w:t>.11.2020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12</w:t>
                  </w:r>
                  <w:r w:rsidR="0078307E" w:rsidRPr="00A507B0">
                    <w:rPr>
                      <w:rFonts w:ascii="Times New Roman" w:hAnsi="Times New Roman" w:cs="Times New Roman"/>
                      <w:sz w:val="24"/>
                      <w:szCs w:val="24"/>
                    </w:rPr>
                    <w:t>.</w:t>
                  </w:r>
                  <w:r>
                    <w:rPr>
                      <w:rFonts w:ascii="Times New Roman" w:hAnsi="Times New Roman" w:cs="Times New Roman"/>
                      <w:sz w:val="24"/>
                      <w:szCs w:val="24"/>
                    </w:rPr>
                    <w:t>01</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устем</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Юриевич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E37EC9"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01</w:t>
                  </w:r>
                  <w:r w:rsidR="0078307E" w:rsidRPr="00A507B0">
                    <w:rPr>
                      <w:rFonts w:ascii="Times New Roman" w:hAnsi="Times New Roman" w:cs="Times New Roman"/>
                      <w:sz w:val="24"/>
                      <w:szCs w:val="24"/>
                    </w:rPr>
                    <w:t>.</w:t>
                  </w:r>
                  <w:r>
                    <w:rPr>
                      <w:rFonts w:ascii="Times New Roman" w:hAnsi="Times New Roman" w:cs="Times New Roman"/>
                      <w:sz w:val="24"/>
                      <w:szCs w:val="24"/>
                    </w:rPr>
                    <w:t>02</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F01A2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01A2B" w:rsidRPr="00A507B0" w:rsidRDefault="00F01A2B"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01A2B" w:rsidRPr="00A507B0" w:rsidRDefault="00F01A2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Псеунова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Нурдиновна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A2B" w:rsidRPr="00A507B0" w:rsidRDefault="00F01A2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F01A2B" w:rsidRDefault="002C5403"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01A2B" w:rsidRPr="00A507B0" w:rsidRDefault="0014113D" w:rsidP="00F53B29">
                  <w:pPr>
                    <w:jc w:val="center"/>
                    <w:rPr>
                      <w:rFonts w:ascii="Times New Roman" w:hAnsi="Times New Roman" w:cs="Times New Roman"/>
                      <w:sz w:val="24"/>
                      <w:szCs w:val="24"/>
                    </w:rPr>
                  </w:pPr>
                  <w:r>
                    <w:rPr>
                      <w:rFonts w:ascii="Times New Roman" w:hAnsi="Times New Roman" w:cs="Times New Roman"/>
                      <w:sz w:val="24"/>
                      <w:szCs w:val="24"/>
                    </w:rPr>
                    <w:t xml:space="preserve">12.10.2021г. </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w:t>
      </w:r>
      <w:r w:rsidRPr="007605BF">
        <w:rPr>
          <w:rFonts w:ascii="Times New Roman" w:hAnsi="Times New Roman" w:cs="Times New Roman"/>
          <w:color w:val="1F497D"/>
        </w:rPr>
        <w:lastRenderedPageBreak/>
        <w:t>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7"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0"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w:t>
      </w:r>
      <w:r w:rsidRPr="007605BF">
        <w:rPr>
          <w:rFonts w:ascii="Times New Roman" w:hAnsi="Times New Roman" w:cs="Times New Roman"/>
          <w:color w:val="1F497D"/>
        </w:rPr>
        <w:lastRenderedPageBreak/>
        <w:t>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1"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2"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B32C1A"/>
    <w:rsid w:val="00030063"/>
    <w:rsid w:val="00043184"/>
    <w:rsid w:val="00062233"/>
    <w:rsid w:val="00067FF6"/>
    <w:rsid w:val="00072EAB"/>
    <w:rsid w:val="000E2CD8"/>
    <w:rsid w:val="0014113D"/>
    <w:rsid w:val="00163C00"/>
    <w:rsid w:val="00183518"/>
    <w:rsid w:val="001B27E3"/>
    <w:rsid w:val="001B4038"/>
    <w:rsid w:val="00214E25"/>
    <w:rsid w:val="0024118D"/>
    <w:rsid w:val="00264163"/>
    <w:rsid w:val="00275988"/>
    <w:rsid w:val="002A0D7C"/>
    <w:rsid w:val="002C2D32"/>
    <w:rsid w:val="002C5403"/>
    <w:rsid w:val="002F5323"/>
    <w:rsid w:val="002F7303"/>
    <w:rsid w:val="0031416B"/>
    <w:rsid w:val="00374A8B"/>
    <w:rsid w:val="00397408"/>
    <w:rsid w:val="003C5536"/>
    <w:rsid w:val="004346EC"/>
    <w:rsid w:val="00471ECE"/>
    <w:rsid w:val="0047531F"/>
    <w:rsid w:val="004A534E"/>
    <w:rsid w:val="004C39C6"/>
    <w:rsid w:val="004E2CED"/>
    <w:rsid w:val="0058173E"/>
    <w:rsid w:val="0059369F"/>
    <w:rsid w:val="006021BD"/>
    <w:rsid w:val="006242C0"/>
    <w:rsid w:val="0062645A"/>
    <w:rsid w:val="00636B34"/>
    <w:rsid w:val="00650A61"/>
    <w:rsid w:val="006B138B"/>
    <w:rsid w:val="006B7553"/>
    <w:rsid w:val="006C344F"/>
    <w:rsid w:val="006D305C"/>
    <w:rsid w:val="006E55E2"/>
    <w:rsid w:val="006E6231"/>
    <w:rsid w:val="00700404"/>
    <w:rsid w:val="00726BA0"/>
    <w:rsid w:val="00735347"/>
    <w:rsid w:val="007509F6"/>
    <w:rsid w:val="007605BF"/>
    <w:rsid w:val="0078307E"/>
    <w:rsid w:val="007A7823"/>
    <w:rsid w:val="007C42A4"/>
    <w:rsid w:val="007D7BBD"/>
    <w:rsid w:val="007E2D1E"/>
    <w:rsid w:val="00840610"/>
    <w:rsid w:val="008519AA"/>
    <w:rsid w:val="0085226D"/>
    <w:rsid w:val="00865910"/>
    <w:rsid w:val="0087025E"/>
    <w:rsid w:val="0088275C"/>
    <w:rsid w:val="0088582F"/>
    <w:rsid w:val="00886CCA"/>
    <w:rsid w:val="0088778D"/>
    <w:rsid w:val="008973D0"/>
    <w:rsid w:val="008A4D34"/>
    <w:rsid w:val="008B7FC5"/>
    <w:rsid w:val="008E343C"/>
    <w:rsid w:val="008E729E"/>
    <w:rsid w:val="0090207D"/>
    <w:rsid w:val="00904E65"/>
    <w:rsid w:val="00986BFE"/>
    <w:rsid w:val="00991548"/>
    <w:rsid w:val="009A1DB9"/>
    <w:rsid w:val="009D5534"/>
    <w:rsid w:val="00A42312"/>
    <w:rsid w:val="00A507B0"/>
    <w:rsid w:val="00A6032C"/>
    <w:rsid w:val="00A646AE"/>
    <w:rsid w:val="00A662DB"/>
    <w:rsid w:val="00A71194"/>
    <w:rsid w:val="00A8018E"/>
    <w:rsid w:val="00A84C24"/>
    <w:rsid w:val="00A8746F"/>
    <w:rsid w:val="00A877CE"/>
    <w:rsid w:val="00A967D1"/>
    <w:rsid w:val="00AB3CDF"/>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67DBA"/>
    <w:rsid w:val="00D80609"/>
    <w:rsid w:val="00D91EE1"/>
    <w:rsid w:val="00D97733"/>
    <w:rsid w:val="00DA2F6C"/>
    <w:rsid w:val="00DE0695"/>
    <w:rsid w:val="00E37EC9"/>
    <w:rsid w:val="00E679C1"/>
    <w:rsid w:val="00E67D2F"/>
    <w:rsid w:val="00EA004B"/>
    <w:rsid w:val="00EC004C"/>
    <w:rsid w:val="00ED4B9D"/>
    <w:rsid w:val="00ED6B19"/>
    <w:rsid w:val="00F01A2B"/>
    <w:rsid w:val="00F04726"/>
    <w:rsid w:val="00F51150"/>
    <w:rsid w:val="00F53B29"/>
    <w:rsid w:val="00F57898"/>
    <w:rsid w:val="00FA1841"/>
    <w:rsid w:val="00FD0C4E"/>
    <w:rsid w:val="00FD37B4"/>
    <w:rsid w:val="00FE2835"/>
    <w:rsid w:val="00FE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9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12157749/0" TargetMode="External"/><Relationship Id="rId12" Type="http://schemas.openxmlformats.org/officeDocument/2006/relationships/hyperlink" Target="http://mobileonline.garant.ru/document/redirect/702106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7749/1000" TargetMode="External"/><Relationship Id="rId11" Type="http://schemas.openxmlformats.org/officeDocument/2006/relationships/hyperlink" Target="http://mobileonline.garant.ru/document/redirect/70210644/1000" TargetMode="External"/><Relationship Id="rId5" Type="http://schemas.openxmlformats.org/officeDocument/2006/relationships/hyperlink" Target="http://mobileonline.garant.ru/document/redirect/12151309/301" TargetMode="External"/><Relationship Id="rId15" Type="http://schemas.microsoft.com/office/2007/relationships/stylesWithEffects" Target="stylesWithEffects.xml"/><Relationship Id="rId10" Type="http://schemas.openxmlformats.org/officeDocument/2006/relationships/hyperlink" Target="http://mobileonline.garant.ru/document/redirect/12157749/0" TargetMode="External"/><Relationship Id="rId4" Type="http://schemas.openxmlformats.org/officeDocument/2006/relationships/webSettings" Target="webSettings.xml"/><Relationship Id="rId9" Type="http://schemas.openxmlformats.org/officeDocument/2006/relationships/hyperlink" Target="http://mobileonline.garant.ru/document/redirect/12157749/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kefir</cp:lastModifiedBy>
  <cp:revision>42</cp:revision>
  <cp:lastPrinted>2019-07-23T09:28:00Z</cp:lastPrinted>
  <dcterms:created xsi:type="dcterms:W3CDTF">2020-08-03T13:36:00Z</dcterms:created>
  <dcterms:modified xsi:type="dcterms:W3CDTF">2022-11-26T08:47:00Z</dcterms:modified>
</cp:coreProperties>
</file>