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038" w:rsidRPr="00DF34B4" w:rsidRDefault="007E6038" w:rsidP="007E6038">
      <w:pPr>
        <w:shd w:val="clear" w:color="auto" w:fill="FFFFFF"/>
        <w:spacing w:before="75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  <w:t xml:space="preserve">Вниманию потребителя: </w:t>
      </w:r>
      <w:r w:rsidRPr="00DF34B4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  <w:t>Россияне активно переходят на дистанционное взаимодействие с финансовыми организациями</w:t>
      </w:r>
    </w:p>
    <w:p w:rsidR="007E6038" w:rsidRPr="00DF34B4" w:rsidRDefault="007E6038" w:rsidP="007E6038">
      <w:pPr>
        <w:shd w:val="clear" w:color="auto" w:fill="FFFFFF"/>
        <w:spacing w:before="100" w:beforeAutospacing="1" w:after="100" w:afterAutospacing="1" w:line="270" w:lineRule="atLeast"/>
        <w:ind w:firstLine="851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F34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2018 году более половины взрослого населения России (55,2%) пользовалось дистанционным доступом к банковским счетам, а в 2017 году доля таких граждан составляла 45,1%. Банк России провел очередной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hyperlink r:id="rId4" w:anchor="a_79893file" w:history="1">
        <w:r w:rsidRPr="00DF34B4">
          <w:rPr>
            <w:rFonts w:ascii="Arial" w:eastAsia="Times New Roman" w:hAnsi="Arial" w:cs="Arial"/>
            <w:sz w:val="23"/>
            <w:szCs w:val="23"/>
            <w:lang w:eastAsia="ru-RU"/>
          </w:rPr>
          <w:t>замер</w:t>
        </w:r>
      </w:hyperlink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Pr="00DF34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индикаторов финансовой доступности, отметив устойчивый рост использования населением дистанционных каналов доступа к финансовым услугам и безналичным расчетам.</w:t>
      </w:r>
    </w:p>
    <w:p w:rsidR="007E6038" w:rsidRPr="00DF34B4" w:rsidRDefault="007E6038" w:rsidP="007E6038">
      <w:pPr>
        <w:shd w:val="clear" w:color="auto" w:fill="FFFFFF"/>
        <w:spacing w:before="100" w:beforeAutospacing="1" w:after="100" w:afterAutospacing="1" w:line="270" w:lineRule="atLeast"/>
        <w:ind w:firstLine="851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F34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Регулятор проводит подобные замеры с 2015 года и ежегодно отмечает важную роль в повышении финансовой доступности в России развития дистанционных каналов доступа к финансовым услугам, а также увеличения скорости доступа к ним.</w:t>
      </w:r>
    </w:p>
    <w:p w:rsidR="007E6038" w:rsidRPr="00DF34B4" w:rsidRDefault="007E6038" w:rsidP="007E6038">
      <w:pPr>
        <w:shd w:val="clear" w:color="auto" w:fill="FFFFFF"/>
        <w:spacing w:before="100" w:beforeAutospacing="1" w:after="100" w:afterAutospacing="1" w:line="270" w:lineRule="atLeast"/>
        <w:ind w:firstLine="851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F34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О готовности начать регулярно пользоваться дистанционным доступом к финансовым услугам (при наличии такой возможности), как и в ходе прошлого замера, сообщили 42,8% взрослого населения из числа тех респондентов, которые не используют дистанционное обслуживание постоянно. При этом с 35,9 до 54,7% увеличилась доля населения, имеющего возможность мгновенно (в течение 15 минут) совершить перевод денежных средств с помощью мобильного телефона или с использованием спутниковой связи. На 8,2 </w:t>
      </w:r>
      <w:proofErr w:type="spellStart"/>
      <w:r w:rsidRPr="00DF34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п.п</w:t>
      </w:r>
      <w:proofErr w:type="spellEnd"/>
      <w:r w:rsidRPr="00DF34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(до 55,6%) выросла доля безналичных платежей (в том числе с использованием платежных карт) за товары (работы, услуги) в совокупном объеме розничной торговли, общественного питания и платных услуг населению. Количество действующих банков, оказывающих услуги по открытию второго и последующих счетов без явки клиента в офис, увеличилось за 2018 год с 78 до 105.</w:t>
      </w:r>
    </w:p>
    <w:p w:rsidR="007E6038" w:rsidRPr="00DF34B4" w:rsidRDefault="007E6038" w:rsidP="007E6038">
      <w:pPr>
        <w:shd w:val="clear" w:color="auto" w:fill="FFFFFF"/>
        <w:spacing w:before="100" w:beforeAutospacing="1" w:after="100" w:afterAutospacing="1" w:line="270" w:lineRule="atLeast"/>
        <w:ind w:firstLine="851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F34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 этом в 2018 году отмечено сокращение количества подразделений действующих кредитных организаций – с 35 494 до 31 752 единиц. И если в предыдущие годы снижение данного показателя происходило из года в год все меньшими темпами (11,9% в 2015 году, 8,7% в 2016 году и 3,4% в 2017 году), то в 2018 году темп снижения усилился и составил 10,5%. Тенденция к сокращению традиционных форматов банковских подразделений соответствует общемировой практике и связана в первую очередь с развитием современных дистанционных способов обслуживания клиентов. Данная практика в полной мере оправдывает себя в городах и крупных населенных пунктах. Однако в сельской местности, на отдаленных, малонаселенных и труднодоступных территориях с недостаточно развитой информационно-коммуникационной инфраструктурой такой подход не обеспечивает необходимый уровень доступности финансовых услуг, в связи с чем в 2018 году отдельные крупные кредитные организации, сокращая свое присутствие в российских городах, не закрывали подразделения в сельских населенных пунктах.</w:t>
      </w:r>
    </w:p>
    <w:p w:rsidR="007E6038" w:rsidRPr="00DF34B4" w:rsidRDefault="007E6038" w:rsidP="007E6038">
      <w:pPr>
        <w:shd w:val="clear" w:color="auto" w:fill="FFFFFF"/>
        <w:spacing w:before="100" w:beforeAutospacing="1" w:after="100" w:afterAutospacing="1" w:line="270" w:lineRule="atLeast"/>
        <w:ind w:firstLine="851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F34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Помимо этого, банки использовали новый формат, отличающийся от традиционных филиалов и внутренних структурных подразделений. Согласно </w:t>
      </w:r>
      <w:proofErr w:type="gramStart"/>
      <w:r w:rsidRPr="00DF34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результатам</w:t>
      </w:r>
      <w:proofErr w:type="gramEnd"/>
      <w:r w:rsidRPr="00DF34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впервые проведенного Банком России специального сплошного обследования кредитных организаций, всего в России на 31 декабря 2018 года насчитывалось более 27 тыс. удаленных точек обслуживания с работниками кредитных организаций и более 196 тыс. удаленных точек обслуживания с их агентами (без учета касс банковских платежных агентов). Также по состоянию на конец 2018 года отдельные банковские операции по совершению переводов, снятию и внесению наличных были возможны более чем в 30 тыс. отделений почтовой связи (темп прироста за год – 103,9%), что составляло примерно 75% всех действующих почтовых отделений. В 15 тыс. отделений при этом также возможен прием документов на открытие счета (темп прироста за год – 47,6%).</w:t>
      </w:r>
    </w:p>
    <w:p w:rsidR="007E6038" w:rsidRPr="00DF34B4" w:rsidRDefault="007E6038" w:rsidP="007E6038">
      <w:pPr>
        <w:shd w:val="clear" w:color="auto" w:fill="FFFFFF"/>
        <w:spacing w:before="100" w:beforeAutospacing="1" w:after="100" w:afterAutospacing="1" w:line="270" w:lineRule="atLeast"/>
        <w:ind w:firstLine="851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F34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 xml:space="preserve">При анализе качества обслуживания в финансовых организациях в исследовании отмечается рост на 8,2 </w:t>
      </w:r>
      <w:proofErr w:type="spellStart"/>
      <w:r w:rsidRPr="00DF34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п.п</w:t>
      </w:r>
      <w:proofErr w:type="spellEnd"/>
      <w:r w:rsidRPr="00DF34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. (с 65,0 до 73,2%) доли взрослого населения, считающего, что при оформлении кредита/займа за последние 12 месяцев им была предоставлена достоверная, понятная и достаточная информация о продукте. За год на 1,3 </w:t>
      </w:r>
      <w:proofErr w:type="spellStart"/>
      <w:r w:rsidRPr="00DF34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п.п</w:t>
      </w:r>
      <w:proofErr w:type="spellEnd"/>
      <w:r w:rsidRPr="00DF34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. (с 26,8 до 28,1%) увеличилась доля взрослого населения, имеющего активные кредиты/займы в кредитных или </w:t>
      </w:r>
      <w:proofErr w:type="spellStart"/>
      <w:r w:rsidRPr="00DF34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некредитных</w:t>
      </w:r>
      <w:proofErr w:type="spellEnd"/>
      <w:r w:rsidRPr="00DF34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финансовых организациях (НФО), при темпе прироста задолженности по основному долгу в указанных типах организаций 22,5% (с 12 342 млрд до 15 114 млрд рублей). При этом на 10,5% (с 849 млрд до 760 млрд рублей) снизилась просроченная задолженность физических лиц перед кредитными организациями.</w:t>
      </w:r>
    </w:p>
    <w:p w:rsidR="007E6038" w:rsidRPr="00DF34B4" w:rsidRDefault="007E6038" w:rsidP="007E6038">
      <w:pPr>
        <w:shd w:val="clear" w:color="auto" w:fill="FFFFFF"/>
        <w:spacing w:before="100" w:beforeAutospacing="1" w:after="100" w:afterAutospacing="1" w:line="270" w:lineRule="atLeast"/>
        <w:ind w:firstLine="851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F34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 2018 году доля субъектов МСП, имеющих активные кредиты/займы в кредитных или </w:t>
      </w:r>
      <w:proofErr w:type="spellStart"/>
      <w:r w:rsidRPr="00DF34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некредитных</w:t>
      </w:r>
      <w:proofErr w:type="spellEnd"/>
      <w:r w:rsidRPr="00DF34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финансовых организациях, по сравнению с 2017 годом выросла на 7 </w:t>
      </w:r>
      <w:proofErr w:type="spellStart"/>
      <w:r w:rsidRPr="00DF34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п.п</w:t>
      </w:r>
      <w:proofErr w:type="spellEnd"/>
      <w:r w:rsidRPr="00DF34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(с 18,4 до 25,4%) при темпе прироста объема кредитов/займов равном 11,4% (с 6151 млрд до 6855 млрд рублей) и задолженности по основному долгу 1,1% (с 4209 млрд до 4257 млрд рублей).</w:t>
      </w:r>
    </w:p>
    <w:p w:rsidR="007E6038" w:rsidRDefault="007E6038" w:rsidP="007E6038">
      <w:pPr>
        <w:shd w:val="clear" w:color="auto" w:fill="FFFFFF"/>
        <w:spacing w:before="100" w:beforeAutospacing="1" w:after="100" w:afterAutospacing="1" w:line="270" w:lineRule="atLeast"/>
        <w:ind w:firstLine="851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F34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Размер задолженности МСП по банковским кредитам впервые с 2014 года показал рост по итогам года, а объем выданных в 2018 году кредитов стал максимальным с 2015 года. Поддержку рынку оказало существенное снижение процентных ставок по кредитам МСП в 2018 году: средневзвешенные ставки по кредитам МСП на срок до 1 года снизились на 1,32 </w:t>
      </w:r>
      <w:proofErr w:type="spellStart"/>
      <w:r w:rsidRPr="00DF34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п.п</w:t>
      </w:r>
      <w:proofErr w:type="spellEnd"/>
      <w:r w:rsidRPr="00DF34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. (с 12,46% в январе 2018 года до 11,14% в январе 2019 года), а ставки свыше 1 года – на 0,49 </w:t>
      </w:r>
      <w:proofErr w:type="spellStart"/>
      <w:r w:rsidRPr="00DF34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п.п</w:t>
      </w:r>
      <w:proofErr w:type="spellEnd"/>
      <w:r w:rsidRPr="00DF34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(с 11,28 до 10,79% соответственно). В свою очередь, просроченная задолженность субъектов МСП перед банками снизилась на 16,2% (с 622,7 млрд до 521,8 млрд рублей).</w:t>
      </w:r>
    </w:p>
    <w:p w:rsidR="00BC7A86" w:rsidRDefault="007E6038" w:rsidP="007E6038">
      <w:hyperlink r:id="rId5" w:history="1">
        <w:r w:rsidRPr="00E72A04">
          <w:rPr>
            <w:rStyle w:val="a3"/>
            <w:rFonts w:ascii="Arial" w:eastAsia="Times New Roman" w:hAnsi="Arial" w:cs="Arial"/>
            <w:sz w:val="23"/>
            <w:szCs w:val="23"/>
            <w:lang w:eastAsia="ru-RU"/>
          </w:rPr>
          <w:t>http://souz-potrebiteley.ru/main/news/79489/</w:t>
        </w:r>
      </w:hyperlink>
      <w:bookmarkStart w:id="0" w:name="_GoBack"/>
      <w:bookmarkEnd w:id="0"/>
    </w:p>
    <w:sectPr w:rsidR="00BC7A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038"/>
    <w:rsid w:val="007E6038"/>
    <w:rsid w:val="00BC7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D1DFDF-2F5A-4587-A893-117674E2B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03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60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ouz-potrebiteley.ru/main/news/79489/" TargetMode="External"/><Relationship Id="rId4" Type="http://schemas.openxmlformats.org/officeDocument/2006/relationships/hyperlink" Target="http://www.cbr.ru/finmarket/development/development_affo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795</Words>
  <Characters>4535</Characters>
  <Application>Microsoft Office Word</Application>
  <DocSecurity>0</DocSecurity>
  <Lines>37</Lines>
  <Paragraphs>10</Paragraphs>
  <ScaleCrop>false</ScaleCrop>
  <Company/>
  <LinksUpToDate>false</LinksUpToDate>
  <CharactersWithSpaces>5320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2019-11-07T08:11:00Z</dcterms:created>
  <dcterms:modified xsi:type="dcterms:W3CDTF">2019-11-07T08:12:00Z</dcterms:modified>
</cp:coreProperties>
</file>