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p w:rsidR="00451CF1" w:rsidRDefault="00451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РЕЛИЗ</w:t>
      </w:r>
    </w:p>
    <w:p w:rsidR="00451CF1" w:rsidRDefault="00451CF1">
      <w:pPr>
        <w:jc w:val="center"/>
        <w:rPr>
          <w:b/>
          <w:bCs/>
          <w:sz w:val="28"/>
          <w:szCs w:val="28"/>
        </w:rPr>
      </w:pPr>
    </w:p>
    <w:p w:rsidR="00451CF1" w:rsidRDefault="000235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r>
        <w:rPr>
          <w:b/>
          <w:bCs/>
          <w:sz w:val="28"/>
          <w:szCs w:val="28"/>
        </w:rPr>
        <w:t xml:space="preserve">В «ТНС </w:t>
      </w:r>
      <w:proofErr w:type="spellStart"/>
      <w:r>
        <w:rPr>
          <w:b/>
          <w:bCs/>
          <w:sz w:val="28"/>
          <w:szCs w:val="28"/>
        </w:rPr>
        <w:t>энерго</w:t>
      </w:r>
      <w:proofErr w:type="spellEnd"/>
      <w:r>
        <w:rPr>
          <w:b/>
          <w:bCs/>
          <w:sz w:val="28"/>
          <w:szCs w:val="28"/>
        </w:rPr>
        <w:t xml:space="preserve"> Кубань» составили антирейтинг управляющих компаний и ТСЖ</w:t>
      </w:r>
      <w:bookmarkEnd w:id="0"/>
    </w:p>
    <w:p w:rsidR="00451CF1" w:rsidRDefault="00451CF1">
      <w:pPr>
        <w:jc w:val="center"/>
        <w:rPr>
          <w:b/>
          <w:bCs/>
          <w:sz w:val="28"/>
          <w:szCs w:val="28"/>
        </w:rPr>
      </w:pPr>
    </w:p>
    <w:p w:rsidR="00451CF1" w:rsidRPr="00793E25" w:rsidRDefault="00451CF1" w:rsidP="00793E25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02</w:t>
      </w:r>
      <w:r w:rsidRPr="003746B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746BD">
        <w:rPr>
          <w:bCs/>
          <w:i/>
          <w:sz w:val="28"/>
          <w:szCs w:val="28"/>
        </w:rPr>
        <w:t xml:space="preserve"> 2023 года, г.</w:t>
      </w:r>
      <w:r>
        <w:rPr>
          <w:bCs/>
          <w:i/>
          <w:sz w:val="28"/>
          <w:szCs w:val="28"/>
        </w:rPr>
        <w:t xml:space="preserve"> </w:t>
      </w:r>
      <w:r w:rsidRPr="003746BD">
        <w:rPr>
          <w:bCs/>
          <w:i/>
          <w:sz w:val="28"/>
          <w:szCs w:val="28"/>
        </w:rPr>
        <w:t>Краснодар</w:t>
      </w:r>
      <w:r>
        <w:rPr>
          <w:bCs/>
          <w:i/>
          <w:sz w:val="28"/>
          <w:szCs w:val="28"/>
        </w:rPr>
        <w:t>.</w:t>
      </w:r>
      <w:r>
        <w:t xml:space="preserve"> </w:t>
      </w:r>
      <w:r w:rsidRPr="004465E8">
        <w:rPr>
          <w:bCs/>
          <w:sz w:val="28"/>
          <w:szCs w:val="28"/>
        </w:rPr>
        <w:t xml:space="preserve">Задолженность управляющих компаний и ТСЖ перед «ТНС энерго Кубань» по состоянию на 1 февраля 2023 года превысила </w:t>
      </w:r>
      <w:r w:rsidR="00B57B4D" w:rsidRPr="004465E8">
        <w:rPr>
          <w:bCs/>
          <w:sz w:val="28"/>
          <w:szCs w:val="28"/>
        </w:rPr>
        <w:t>1,27</w:t>
      </w:r>
      <w:r w:rsidRPr="004465E8">
        <w:rPr>
          <w:bCs/>
          <w:sz w:val="28"/>
          <w:szCs w:val="28"/>
        </w:rPr>
        <w:t xml:space="preserve"> мл</w:t>
      </w:r>
      <w:r w:rsidR="002F10D8">
        <w:rPr>
          <w:bCs/>
          <w:sz w:val="28"/>
          <w:szCs w:val="28"/>
        </w:rPr>
        <w:t xml:space="preserve">рд </w:t>
      </w:r>
      <w:r w:rsidR="00793E25">
        <w:rPr>
          <w:bCs/>
          <w:sz w:val="28"/>
          <w:szCs w:val="28"/>
        </w:rPr>
        <w:t>рублей.</w:t>
      </w:r>
    </w:p>
    <w:p w:rsidR="008D45C2" w:rsidRPr="008D45C2" w:rsidRDefault="008D45C2" w:rsidP="008D45C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В отношении недобросовестных управляющих компаний (УК) гарантирующий поставщик ведет последовательную работу по взысканию задолженностей в судебном порядке. </w:t>
      </w:r>
    </w:p>
    <w:p w:rsidR="008D45C2" w:rsidRPr="008D45C2" w:rsidRDefault="00793E25" w:rsidP="008D45C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К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исполнителям коммунальных услуг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, которые грубо н</w:t>
      </w:r>
      <w:r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арушают лицензионные требования по 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управлению многоквартирными домами, «ТНС энерго</w:t>
      </w:r>
      <w:r w:rsid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Кубань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» привлекает Государственную жилищную инспекцию (ГЖИ). </w:t>
      </w:r>
    </w:p>
    <w:p w:rsidR="009D4363" w:rsidRDefault="009D4363" w:rsidP="0041792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Так за 2022 год было направлено 75 обращений в ГЖИ, по результатам рассмотрения которых объявлены 73 предостережения управляющим компаниям о недопустимости нарушения лицензионных требований в части оплаты за по</w:t>
      </w:r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ставленную</w:t>
      </w:r>
      <w:r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электроэнергию. С начала 2023 года направлено еще </w:t>
      </w:r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5</w:t>
      </w:r>
      <w:r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обращений</w:t>
      </w:r>
      <w:r w:rsidR="00417922" w:rsidRPr="004465E8">
        <w:t xml:space="preserve"> </w:t>
      </w:r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в отношении задолженности следующих управляющих компаний – неплательщиков: ООО "Ирида", ООО "ДРУ-Краевое Управление г. Сочи", ООО "УК Гарант-Сервис", ООО "Новый сервис", ООО "</w:t>
      </w:r>
      <w:proofErr w:type="spellStart"/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ТеплоЭнергетик</w:t>
      </w:r>
      <w:proofErr w:type="spellEnd"/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".</w:t>
      </w:r>
    </w:p>
    <w:p w:rsidR="00793E25" w:rsidRDefault="00793E25" w:rsidP="00793E25">
      <w:pPr>
        <w:ind w:firstLine="567"/>
        <w:jc w:val="both"/>
        <w:rPr>
          <w:b/>
          <w:bCs/>
          <w:sz w:val="28"/>
          <w:szCs w:val="28"/>
        </w:rPr>
      </w:pPr>
      <w:r w:rsidRPr="004465E8">
        <w:rPr>
          <w:bCs/>
          <w:sz w:val="28"/>
          <w:szCs w:val="28"/>
        </w:rPr>
        <w:t>Гарантирующий поставщик электроэнергии обслуживает более 1077 управляющих компаний и ТСЖ, из них несвоевременно оплачивают потребленную электроэнергию 472 исполнителя коммунальных услуг, что составляет 44 % от общего количества.</w:t>
      </w:r>
    </w:p>
    <w:p w:rsidR="00793E25" w:rsidRDefault="00793E25" w:rsidP="00793E25">
      <w:pPr>
        <w:widowControl/>
        <w:suppressAutoHyphens w:val="0"/>
        <w:ind w:firstLine="567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31666E">
        <w:rPr>
          <w:rFonts w:eastAsia="Lucida Sans Unicode"/>
          <w:kern w:val="3"/>
          <w:sz w:val="28"/>
          <w:szCs w:val="28"/>
          <w:lang w:eastAsia="zh-CN" w:bidi="hi-IN"/>
        </w:rPr>
        <w:t xml:space="preserve">Крупнейшими должниками являются </w:t>
      </w: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следующие </w:t>
      </w:r>
      <w:r w:rsidRPr="0031666E">
        <w:rPr>
          <w:rFonts w:eastAsia="Lucida Sans Unicode"/>
          <w:kern w:val="3"/>
          <w:sz w:val="28"/>
          <w:szCs w:val="28"/>
          <w:lang w:eastAsia="zh-CN" w:bidi="hi-IN"/>
        </w:rPr>
        <w:t xml:space="preserve">управляющие компании: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83"/>
        <w:gridCol w:w="1384"/>
        <w:gridCol w:w="2290"/>
        <w:gridCol w:w="1889"/>
        <w:gridCol w:w="1924"/>
        <w:gridCol w:w="1569"/>
      </w:tblGrid>
      <w:tr w:rsidR="00793E25" w:rsidRPr="002E0406" w:rsidTr="00B86DA4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Наименование УК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 xml:space="preserve">Задолженность на 01.02.2023, </w:t>
            </w:r>
            <w:r>
              <w:rPr>
                <w:color w:val="000000"/>
                <w:sz w:val="22"/>
                <w:szCs w:val="22"/>
              </w:rPr>
              <w:t xml:space="preserve">млн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Количество неоплаченных периодов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2311118175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"УКЭСК"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35 256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2320235936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 "СОЧИ"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25 217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93E25" w:rsidRPr="002E0406" w:rsidTr="00B86DA4"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2320141212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"Управляющая компания "Ремонтно-эксплуатационная организация-10"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22 244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0107023931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"Интер-Строй"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Тахтамукайский район</w:t>
            </w:r>
            <w:r w:rsidR="008B4478">
              <w:rPr>
                <w:color w:val="000000"/>
                <w:sz w:val="22"/>
                <w:szCs w:val="22"/>
              </w:rPr>
              <w:t xml:space="preserve"> </w:t>
            </w:r>
            <w:r w:rsidR="008B4478">
              <w:rPr>
                <w:color w:val="000000"/>
                <w:sz w:val="22"/>
                <w:szCs w:val="22"/>
              </w:rPr>
              <w:lastRenderedPageBreak/>
              <w:t>Республики Адыгея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lastRenderedPageBreak/>
              <w:t>18 779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2317076891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 "Ваш Дом"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18 509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2311150997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E0406">
              <w:rPr>
                <w:color w:val="000000"/>
                <w:sz w:val="22"/>
                <w:szCs w:val="22"/>
              </w:rPr>
              <w:t>ТеплоЭнергетик</w:t>
            </w:r>
            <w:proofErr w:type="spellEnd"/>
            <w:r w:rsidRPr="002E04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16 574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2301075236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"ГАРАНТ "УПРАВЛЕНИЕ МКД"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Анапа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15 256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22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2319039944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"Управляющая компания "РЭУ-17"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13 936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39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2310107653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УК "Восточно-Западная"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13 219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2311245141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УК "Надежная"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11 830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2311139457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 Гарант-Оптимум"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11 740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2318042422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"ДРУ-Краевое Управление г. Сочи"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11 467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0107017529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"Строй-Комплекс"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Тахтамукайский район</w:t>
            </w:r>
            <w:r w:rsidR="008B4478">
              <w:rPr>
                <w:color w:val="000000"/>
                <w:sz w:val="22"/>
                <w:szCs w:val="22"/>
              </w:rPr>
              <w:t xml:space="preserve"> Республики Адыгея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11 399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2312116460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"Стройкомплекс</w:t>
            </w:r>
            <w:r w:rsidRPr="002E04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Тахтамукайский район</w:t>
            </w:r>
            <w:r w:rsidR="008B4478">
              <w:rPr>
                <w:color w:val="000000"/>
                <w:sz w:val="22"/>
                <w:szCs w:val="22"/>
              </w:rPr>
              <w:t xml:space="preserve"> Республики Адыгея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11 303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2311203590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"УКЭСК-ЮГ"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10 751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793E25" w:rsidRPr="0031666E" w:rsidRDefault="00793E25" w:rsidP="00793E25">
      <w:pPr>
        <w:widowControl/>
        <w:suppressAutoHyphens w:val="0"/>
        <w:ind w:firstLine="567"/>
        <w:jc w:val="both"/>
        <w:rPr>
          <w:color w:val="000000"/>
          <w:sz w:val="28"/>
          <w:szCs w:val="28"/>
        </w:rPr>
      </w:pPr>
    </w:p>
    <w:p w:rsidR="00793E25" w:rsidRPr="00417922" w:rsidRDefault="00793E25" w:rsidP="0041792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451CF1" w:rsidRDefault="00451CF1" w:rsidP="00D90681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 w:rsidRPr="00451CF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«ТНС энерго Кубань» рекомендует жителям внимательно подходить к выбору управляющей компании, и требовать подтверждающие документы об отсутствии задолженности за поставленные ресурсы и своевременной их оплате.</w:t>
      </w:r>
      <w:r w:rsidR="00D9068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D90681" w:rsidRPr="00451CF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В случае неправомерных действий со стороны управляющей компании, жильцы имеют право перейти на прямые договора с поставщиком электроэнергии. </w:t>
      </w:r>
      <w:r w:rsidR="00D9068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D90681" w:rsidRDefault="00D90681" w:rsidP="004465E8">
      <w:pPr>
        <w:autoSpaceDN w:val="0"/>
        <w:jc w:val="both"/>
        <w:textAlignment w:val="baseline"/>
      </w:pPr>
    </w:p>
    <w:p w:rsidR="0025188B" w:rsidRPr="002F10D8" w:rsidRDefault="0025188B" w:rsidP="0025188B">
      <w:pPr>
        <w:jc w:val="both"/>
      </w:pPr>
      <w:r w:rsidRPr="002F10D8">
        <w:rPr>
          <w:b/>
          <w:i/>
        </w:rPr>
        <w:t>Справка о компании:</w:t>
      </w:r>
    </w:p>
    <w:p w:rsidR="0025188B" w:rsidRPr="002F10D8" w:rsidRDefault="0025188B" w:rsidP="0025188B">
      <w:pPr>
        <w:jc w:val="both"/>
        <w:rPr>
          <w:i/>
        </w:rPr>
      </w:pPr>
      <w:r w:rsidRPr="002F10D8">
        <w:rPr>
          <w:b/>
          <w:i/>
        </w:rPr>
        <w:t xml:space="preserve">ПАО «ТНС энерго Кубань» — </w:t>
      </w:r>
      <w:r w:rsidRPr="002F10D8">
        <w:rPr>
          <w:i/>
        </w:rPr>
        <w:t>гарантирующий поставщик электроэнергии на</w:t>
      </w:r>
      <w:r w:rsidR="006544F7">
        <w:rPr>
          <w:i/>
        </w:rPr>
        <w:t> территории Краснодарского края, Республики Адыгея и федеральной территории Сириус</w:t>
      </w:r>
      <w:r w:rsidRPr="002F10D8">
        <w:rPr>
          <w:i/>
        </w:rPr>
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2F10D8">
        <w:rPr>
          <w:i/>
        </w:rPr>
        <w:t>ЦОКа</w:t>
      </w:r>
      <w:proofErr w:type="spellEnd"/>
      <w:r w:rsidRPr="002F10D8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25188B" w:rsidRPr="002F10D8" w:rsidRDefault="0025188B" w:rsidP="0025188B">
      <w:pPr>
        <w:jc w:val="both"/>
        <w:rPr>
          <w:i/>
        </w:rPr>
      </w:pPr>
    </w:p>
    <w:p w:rsidR="0025188B" w:rsidRDefault="0025188B" w:rsidP="0025188B">
      <w:pPr>
        <w:jc w:val="both"/>
        <w:rPr>
          <w:i/>
          <w:iCs/>
          <w:shd w:val="clear" w:color="auto" w:fill="FFFFFF"/>
        </w:rPr>
      </w:pPr>
      <w:r w:rsidRPr="002F10D8">
        <w:rPr>
          <w:b/>
          <w:i/>
          <w:iCs/>
          <w:color w:val="000000"/>
        </w:rPr>
        <w:t>ПАО ГК «ТНС энерго»</w:t>
      </w:r>
      <w:r w:rsidRPr="002F10D8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2F10D8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10347D" w:rsidRPr="002F10D8" w:rsidRDefault="0010347D" w:rsidP="0025188B">
      <w:pPr>
        <w:jc w:val="both"/>
        <w:rPr>
          <w:i/>
          <w:iCs/>
          <w:color w:val="FF0000"/>
        </w:rPr>
      </w:pPr>
      <w:r w:rsidRPr="0010347D">
        <w:rPr>
          <w:i/>
          <w:iCs/>
          <w:noProof/>
          <w:color w:val="FF0000"/>
        </w:rPr>
        <w:lastRenderedPageBreak/>
        <w:drawing>
          <wp:inline distT="0" distB="0" distL="0" distR="0">
            <wp:extent cx="3295650" cy="3295650"/>
            <wp:effectExtent l="0" t="0" r="0" b="0"/>
            <wp:docPr id="1" name="Рисунок 1" descr="C:\Users\User\Desktop\Антирейтинг УК Куба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рейтинг УК Кубан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8B" w:rsidRDefault="0025188B" w:rsidP="0025188B">
      <w:pPr>
        <w:jc w:val="both"/>
        <w:rPr>
          <w:sz w:val="28"/>
          <w:szCs w:val="28"/>
        </w:rPr>
      </w:pPr>
    </w:p>
    <w:p w:rsidR="0025188B" w:rsidRDefault="008D45C2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Пархоменко Анна</w:t>
      </w:r>
      <w:r w:rsidR="0025188B">
        <w:rPr>
          <w:sz w:val="28"/>
          <w:szCs w:val="28"/>
        </w:rPr>
        <w:t>,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25188B" w:rsidRPr="00B57B4D" w:rsidRDefault="0025188B" w:rsidP="0025188B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B41834" w:rsidRPr="009A33E7">
        <w:rPr>
          <w:color w:val="000000"/>
          <w:sz w:val="28"/>
          <w:szCs w:val="28"/>
          <w:lang w:val="en-US"/>
        </w:rPr>
        <w:t>01 доб.145</w:t>
      </w:r>
      <w:r w:rsidR="008D45C2" w:rsidRPr="00B57B4D">
        <w:rPr>
          <w:color w:val="000000"/>
          <w:sz w:val="28"/>
          <w:szCs w:val="28"/>
          <w:lang w:val="en-US"/>
        </w:rPr>
        <w:t>5</w:t>
      </w:r>
    </w:p>
    <w:p w:rsidR="00AB47B6" w:rsidRDefault="0025188B" w:rsidP="008E3CEE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 xml:space="preserve">E-mail: </w:t>
      </w:r>
      <w:hyperlink r:id="rId9" w:history="1">
        <w:r w:rsidR="002F10D8" w:rsidRPr="00E54C92">
          <w:rPr>
            <w:rStyle w:val="aa"/>
            <w:sz w:val="28"/>
            <w:szCs w:val="28"/>
            <w:lang w:val="en-US"/>
          </w:rPr>
          <w:t>pressa@kuban.tns-e.ru</w:t>
        </w:r>
      </w:hyperlink>
    </w:p>
    <w:p w:rsidR="002F10D8" w:rsidRPr="00240410" w:rsidRDefault="002F10D8" w:rsidP="00240410">
      <w:pPr>
        <w:rPr>
          <w:sz w:val="28"/>
          <w:szCs w:val="28"/>
          <w:lang w:val="en-US"/>
        </w:rPr>
      </w:pPr>
    </w:p>
    <w:sectPr w:rsidR="002F10D8" w:rsidRPr="00240410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46" w:rsidRDefault="00697446">
      <w:r>
        <w:separator/>
      </w:r>
    </w:p>
  </w:endnote>
  <w:endnote w:type="continuationSeparator" w:id="0">
    <w:p w:rsidR="00697446" w:rsidRDefault="006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46" w:rsidRDefault="00697446">
      <w:r>
        <w:separator/>
      </w:r>
    </w:p>
  </w:footnote>
  <w:footnote w:type="continuationSeparator" w:id="0">
    <w:p w:rsidR="00697446" w:rsidRDefault="0069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410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15457"/>
    <w:rsid w:val="00015C7F"/>
    <w:rsid w:val="0002350E"/>
    <w:rsid w:val="00025D90"/>
    <w:rsid w:val="00043693"/>
    <w:rsid w:val="000534B6"/>
    <w:rsid w:val="000555FA"/>
    <w:rsid w:val="00061DA7"/>
    <w:rsid w:val="00081898"/>
    <w:rsid w:val="00083BB8"/>
    <w:rsid w:val="000874B1"/>
    <w:rsid w:val="00091820"/>
    <w:rsid w:val="00093E89"/>
    <w:rsid w:val="000B6DD4"/>
    <w:rsid w:val="000C0FB1"/>
    <w:rsid w:val="000C4F31"/>
    <w:rsid w:val="000C5DE2"/>
    <w:rsid w:val="0010347D"/>
    <w:rsid w:val="00123373"/>
    <w:rsid w:val="00136A06"/>
    <w:rsid w:val="0014679F"/>
    <w:rsid w:val="00156559"/>
    <w:rsid w:val="001637B1"/>
    <w:rsid w:val="0017381F"/>
    <w:rsid w:val="00182A1D"/>
    <w:rsid w:val="001834F9"/>
    <w:rsid w:val="00185B1C"/>
    <w:rsid w:val="001940AF"/>
    <w:rsid w:val="00196E08"/>
    <w:rsid w:val="001D6071"/>
    <w:rsid w:val="0021420A"/>
    <w:rsid w:val="00222BBB"/>
    <w:rsid w:val="002236AC"/>
    <w:rsid w:val="00240410"/>
    <w:rsid w:val="00241722"/>
    <w:rsid w:val="00242737"/>
    <w:rsid w:val="00251063"/>
    <w:rsid w:val="00251099"/>
    <w:rsid w:val="0025188B"/>
    <w:rsid w:val="002748AF"/>
    <w:rsid w:val="002848EA"/>
    <w:rsid w:val="002C4821"/>
    <w:rsid w:val="002E0406"/>
    <w:rsid w:val="002E6716"/>
    <w:rsid w:val="002E6DCD"/>
    <w:rsid w:val="002F10D8"/>
    <w:rsid w:val="002F5B03"/>
    <w:rsid w:val="0031666E"/>
    <w:rsid w:val="00321C4F"/>
    <w:rsid w:val="00333DE8"/>
    <w:rsid w:val="00347E0C"/>
    <w:rsid w:val="00364BBA"/>
    <w:rsid w:val="003746BD"/>
    <w:rsid w:val="003868E8"/>
    <w:rsid w:val="0038760E"/>
    <w:rsid w:val="00394ECB"/>
    <w:rsid w:val="003A0827"/>
    <w:rsid w:val="003A631C"/>
    <w:rsid w:val="003B4874"/>
    <w:rsid w:val="003E516E"/>
    <w:rsid w:val="0040538E"/>
    <w:rsid w:val="00415E9E"/>
    <w:rsid w:val="00417922"/>
    <w:rsid w:val="00436896"/>
    <w:rsid w:val="00443775"/>
    <w:rsid w:val="00445BB5"/>
    <w:rsid w:val="004465E8"/>
    <w:rsid w:val="00451CF1"/>
    <w:rsid w:val="00466E12"/>
    <w:rsid w:val="00487B97"/>
    <w:rsid w:val="004A5C1B"/>
    <w:rsid w:val="004C4393"/>
    <w:rsid w:val="004C4F34"/>
    <w:rsid w:val="004C62F2"/>
    <w:rsid w:val="004D4037"/>
    <w:rsid w:val="004D510B"/>
    <w:rsid w:val="004F4890"/>
    <w:rsid w:val="004F571E"/>
    <w:rsid w:val="00506007"/>
    <w:rsid w:val="005255F3"/>
    <w:rsid w:val="00533566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0CE"/>
    <w:rsid w:val="005E4340"/>
    <w:rsid w:val="005F62AC"/>
    <w:rsid w:val="0062349A"/>
    <w:rsid w:val="00632CDE"/>
    <w:rsid w:val="006544F7"/>
    <w:rsid w:val="0065474B"/>
    <w:rsid w:val="00657FB8"/>
    <w:rsid w:val="006636CE"/>
    <w:rsid w:val="006764D7"/>
    <w:rsid w:val="00687D85"/>
    <w:rsid w:val="00690C9E"/>
    <w:rsid w:val="00697446"/>
    <w:rsid w:val="006B3F8C"/>
    <w:rsid w:val="006B519D"/>
    <w:rsid w:val="006C221D"/>
    <w:rsid w:val="006D723B"/>
    <w:rsid w:val="0070066B"/>
    <w:rsid w:val="00702EF4"/>
    <w:rsid w:val="00706228"/>
    <w:rsid w:val="00712FA3"/>
    <w:rsid w:val="00714815"/>
    <w:rsid w:val="00721311"/>
    <w:rsid w:val="007305A6"/>
    <w:rsid w:val="007324BB"/>
    <w:rsid w:val="007375B7"/>
    <w:rsid w:val="00737806"/>
    <w:rsid w:val="00742DBE"/>
    <w:rsid w:val="00746BA8"/>
    <w:rsid w:val="00752F5D"/>
    <w:rsid w:val="00756750"/>
    <w:rsid w:val="00766EF7"/>
    <w:rsid w:val="00776976"/>
    <w:rsid w:val="00793E25"/>
    <w:rsid w:val="007A1376"/>
    <w:rsid w:val="007A7BC1"/>
    <w:rsid w:val="007D1F72"/>
    <w:rsid w:val="007E0C0C"/>
    <w:rsid w:val="0081614A"/>
    <w:rsid w:val="008163B4"/>
    <w:rsid w:val="00821B62"/>
    <w:rsid w:val="0083185B"/>
    <w:rsid w:val="00870650"/>
    <w:rsid w:val="00886944"/>
    <w:rsid w:val="0089574D"/>
    <w:rsid w:val="008A053F"/>
    <w:rsid w:val="008A2E1C"/>
    <w:rsid w:val="008B4478"/>
    <w:rsid w:val="008D45C2"/>
    <w:rsid w:val="008E3CEE"/>
    <w:rsid w:val="008F77C1"/>
    <w:rsid w:val="00912D63"/>
    <w:rsid w:val="00930606"/>
    <w:rsid w:val="00931999"/>
    <w:rsid w:val="00965C3B"/>
    <w:rsid w:val="0096606A"/>
    <w:rsid w:val="00976B8A"/>
    <w:rsid w:val="009804CD"/>
    <w:rsid w:val="00995E70"/>
    <w:rsid w:val="009A33E7"/>
    <w:rsid w:val="009B0F7C"/>
    <w:rsid w:val="009C46A6"/>
    <w:rsid w:val="009D4363"/>
    <w:rsid w:val="009D4412"/>
    <w:rsid w:val="009E26E1"/>
    <w:rsid w:val="009F2A38"/>
    <w:rsid w:val="009F2A3D"/>
    <w:rsid w:val="00A20485"/>
    <w:rsid w:val="00A43EF1"/>
    <w:rsid w:val="00A4632F"/>
    <w:rsid w:val="00A72E5B"/>
    <w:rsid w:val="00A9106C"/>
    <w:rsid w:val="00AB47B6"/>
    <w:rsid w:val="00AE2579"/>
    <w:rsid w:val="00B15D14"/>
    <w:rsid w:val="00B41834"/>
    <w:rsid w:val="00B57B4D"/>
    <w:rsid w:val="00B60076"/>
    <w:rsid w:val="00B638A2"/>
    <w:rsid w:val="00B6661C"/>
    <w:rsid w:val="00B76FCC"/>
    <w:rsid w:val="00B8018D"/>
    <w:rsid w:val="00BD1BDA"/>
    <w:rsid w:val="00BF2C73"/>
    <w:rsid w:val="00C00277"/>
    <w:rsid w:val="00C15D25"/>
    <w:rsid w:val="00C3080F"/>
    <w:rsid w:val="00C40FFA"/>
    <w:rsid w:val="00C50E6C"/>
    <w:rsid w:val="00C84230"/>
    <w:rsid w:val="00CC573F"/>
    <w:rsid w:val="00CF2726"/>
    <w:rsid w:val="00D472C2"/>
    <w:rsid w:val="00D53072"/>
    <w:rsid w:val="00D90681"/>
    <w:rsid w:val="00D92853"/>
    <w:rsid w:val="00DB30D9"/>
    <w:rsid w:val="00DB4DA4"/>
    <w:rsid w:val="00E012D8"/>
    <w:rsid w:val="00E126BA"/>
    <w:rsid w:val="00E307EC"/>
    <w:rsid w:val="00E32889"/>
    <w:rsid w:val="00E475EC"/>
    <w:rsid w:val="00E51CC4"/>
    <w:rsid w:val="00E575E0"/>
    <w:rsid w:val="00E83A17"/>
    <w:rsid w:val="00E84AF2"/>
    <w:rsid w:val="00EB6DC3"/>
    <w:rsid w:val="00EC21B8"/>
    <w:rsid w:val="00EC4C00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5753B"/>
    <w:rsid w:val="00F63A8C"/>
    <w:rsid w:val="00F64D23"/>
    <w:rsid w:val="00F70BFB"/>
    <w:rsid w:val="00F738AC"/>
    <w:rsid w:val="00F8202F"/>
    <w:rsid w:val="00F8562A"/>
    <w:rsid w:val="00F9422B"/>
    <w:rsid w:val="00FA6CD2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93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a@kuban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5</cp:revision>
  <cp:lastPrinted>2023-02-28T06:00:00Z</cp:lastPrinted>
  <dcterms:created xsi:type="dcterms:W3CDTF">2023-02-28T10:55:00Z</dcterms:created>
  <dcterms:modified xsi:type="dcterms:W3CDTF">2023-03-02T13:06:00Z</dcterms:modified>
</cp:coreProperties>
</file>